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b/>
          <w:bCs/>
          <w:sz w:val="28"/>
          <w:szCs w:val="28"/>
        </w:rPr>
        <w:t>поступающими</w:t>
      </w:r>
      <w:proofErr w:type="gramEnd"/>
      <w:r>
        <w:rPr>
          <w:b/>
          <w:bCs/>
          <w:sz w:val="28"/>
          <w:szCs w:val="28"/>
        </w:rPr>
        <w:t xml:space="preserve"> обязательного предварительного медицинского осмотра (обследования) </w:t>
      </w:r>
    </w:p>
    <w:p w:rsidR="00333A99" w:rsidRDefault="00333A99" w:rsidP="00333A99">
      <w:pPr>
        <w:jc w:val="center"/>
      </w:pP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  <w:r w:rsidRPr="004964E5">
        <w:t xml:space="preserve">При поступлении в </w:t>
      </w:r>
      <w:r>
        <w:t xml:space="preserve">Дальневосточный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 в соответствии с постановление Правительства РФ 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697</w:t>
      </w:r>
      <w:r w:rsidRPr="004964E5">
        <w:t xml:space="preserve"> прохождение медицинского осмотра (обследования) требуется</w:t>
      </w:r>
      <w:r>
        <w:t xml:space="preserve"> по следующим программам среднего профессионального образования: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 xml:space="preserve">11.02.03 Эксплуатация оборудования радиосвязи и </w:t>
      </w:r>
      <w:proofErr w:type="spellStart"/>
      <w:r w:rsidRPr="00D5115E">
        <w:rPr>
          <w:b/>
        </w:rPr>
        <w:t>электрорадионавигации</w:t>
      </w:r>
      <w:proofErr w:type="spellEnd"/>
      <w:r w:rsidRPr="00D5115E">
        <w:rPr>
          <w:b/>
        </w:rPr>
        <w:t xml:space="preserve"> судов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15.02.01 Монтаж и техническая эксплуатация промышленного оборудования (по отраслям)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:rsidR="00333A99" w:rsidRPr="00D5115E" w:rsidRDefault="00333A99" w:rsidP="00333A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5115E">
        <w:rPr>
          <w:rFonts w:ascii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26.02.03 Судовождение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26.02.05 Эксплуатация судовых энергетических установок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26.02.06 Эксплуатация судового электрооборудования и средств автоматики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35.02.10 Обработка водных биоресурсов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35.02.11 Промышленное рыболовство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4964E5" w:rsidRDefault="00333A99" w:rsidP="00333A99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4964E5">
        <w:t xml:space="preserve">ри поступлении на </w:t>
      </w:r>
      <w:r>
        <w:t>данные образовательные программы</w:t>
      </w:r>
      <w:r w:rsidRPr="004964E5">
        <w:t xml:space="preserve">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 w:rsidRPr="004964E5">
        <w:rPr>
          <w:color w:val="000000"/>
        </w:rPr>
        <w:t>Приказом М</w:t>
      </w:r>
      <w:r w:rsidRPr="004964E5">
        <w:t xml:space="preserve">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4964E5">
          <w:t>2011 г</w:t>
        </w:r>
      </w:smartTag>
      <w:r w:rsidRPr="004964E5">
        <w:t>. N 302н «Об утверждении перечней вредных и (или) опасных производственных факторов и работ</w:t>
      </w:r>
      <w:proofErr w:type="gramEnd"/>
      <w:r w:rsidRPr="004964E5">
        <w:t xml:space="preserve">, при </w:t>
      </w:r>
      <w:proofErr w:type="gramStart"/>
      <w:r w:rsidRPr="004964E5">
        <w:t>выполнении</w:t>
      </w:r>
      <w:proofErr w:type="gramEnd"/>
      <w:r w:rsidRPr="004964E5"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(Приложение 1)</w:t>
      </w:r>
      <w:r w:rsidRPr="004964E5">
        <w:t>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  <w:r w:rsidRPr="004964E5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</w:p>
    <w:p w:rsidR="00333A99" w:rsidRPr="000835C3" w:rsidRDefault="00333A99" w:rsidP="00333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835C3"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:rsidR="00333A99" w:rsidRDefault="00333A99" w:rsidP="00333A99">
      <w:pPr>
        <w:autoSpaceDE w:val="0"/>
        <w:autoSpaceDN w:val="0"/>
        <w:adjustRightInd w:val="0"/>
        <w:jc w:val="right"/>
      </w:pPr>
      <w:r>
        <w:t>Приложение 1</w:t>
      </w:r>
    </w:p>
    <w:p w:rsidR="00333A99" w:rsidRPr="006528EF" w:rsidRDefault="00333A99" w:rsidP="00333A99">
      <w:pPr>
        <w:autoSpaceDE w:val="0"/>
        <w:autoSpaceDN w:val="0"/>
        <w:adjustRightInd w:val="0"/>
        <w:jc w:val="right"/>
      </w:pPr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35E34">
        <w:rPr>
          <w:b/>
        </w:rPr>
        <w:t xml:space="preserve">Перечень обязательных для всех </w:t>
      </w:r>
      <w:proofErr w:type="gramEnd"/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r w:rsidRPr="00135E34">
        <w:rPr>
          <w:b/>
        </w:rPr>
        <w:t>лабораторных и функциональных исследований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>
        <w:t>атипичные</w:t>
      </w:r>
      <w:proofErr w:type="spellEnd"/>
      <w:r>
        <w:t xml:space="preserve"> клетки) исследования.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Cs/>
        </w:rPr>
        <w:sectPr w:rsidR="00333A99" w:rsidSect="00D5115E">
          <w:pgSz w:w="11905" w:h="16838"/>
          <w:pgMar w:top="899" w:right="1105" w:bottom="719" w:left="1440" w:header="720" w:footer="720" w:gutter="0"/>
          <w:cols w:space="720"/>
          <w:noEndnote/>
        </w:sectPr>
      </w:pPr>
    </w:p>
    <w:p w:rsidR="00333A99" w:rsidRDefault="00333A99" w:rsidP="00333A99">
      <w:pPr>
        <w:jc w:val="center"/>
      </w:pPr>
      <w:r w:rsidRPr="00E772D0">
        <w:rPr>
          <w:b/>
          <w:bCs/>
        </w:rPr>
        <w:lastRenderedPageBreak/>
        <w:t xml:space="preserve">Перечень </w:t>
      </w:r>
      <w:r w:rsidRPr="00E772D0">
        <w:rPr>
          <w:b/>
        </w:rPr>
        <w:t xml:space="preserve">врачей-специалистов, лабораторных и функциональных исследований, общих и дополнительных медицинских противопоказаний при приеме для </w:t>
      </w:r>
      <w:proofErr w:type="gramStart"/>
      <w:r w:rsidRPr="00E772D0">
        <w:rPr>
          <w:b/>
        </w:rPr>
        <w:t>обучения</w:t>
      </w:r>
      <w:r w:rsidRPr="00E772D0">
        <w:t xml:space="preserve"> </w:t>
      </w:r>
      <w:r w:rsidRPr="00E772D0">
        <w:rPr>
          <w:b/>
        </w:rPr>
        <w:t>по</w:t>
      </w:r>
      <w:proofErr w:type="gramEnd"/>
      <w:r w:rsidRPr="00E772D0">
        <w:rPr>
          <w:b/>
        </w:rPr>
        <w:t xml:space="preserve"> </w:t>
      </w:r>
      <w:r>
        <w:rPr>
          <w:b/>
        </w:rPr>
        <w:t xml:space="preserve">каждому </w:t>
      </w:r>
      <w:r w:rsidRPr="00E772D0">
        <w:rPr>
          <w:b/>
        </w:rPr>
        <w:t>направлени</w:t>
      </w:r>
      <w:r>
        <w:rPr>
          <w:b/>
        </w:rPr>
        <w:t>ю</w:t>
      </w:r>
      <w:r w:rsidRPr="00E772D0">
        <w:rPr>
          <w:b/>
        </w:rPr>
        <w:t xml:space="preserve"> подготовки (специальност</w:t>
      </w:r>
      <w:r>
        <w:rPr>
          <w:b/>
        </w:rPr>
        <w:t>и</w:t>
      </w:r>
      <w:r w:rsidRPr="00E772D0">
        <w:rPr>
          <w:b/>
        </w:rPr>
        <w:t>)</w:t>
      </w:r>
      <w:r>
        <w:t>:</w:t>
      </w:r>
    </w:p>
    <w:p w:rsidR="00333A99" w:rsidRDefault="00333A99" w:rsidP="00333A99">
      <w:pPr>
        <w:jc w:val="center"/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271"/>
        <w:gridCol w:w="3846"/>
        <w:gridCol w:w="6840"/>
      </w:tblGrid>
      <w:tr w:rsidR="00333A99" w:rsidRPr="00205249" w:rsidTr="00A20B3D"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 xml:space="preserve">Перечень </w:t>
            </w:r>
            <w:r w:rsidRPr="00205249">
              <w:rPr>
                <w:b/>
              </w:rPr>
              <w:t>врачей-специалистов</w:t>
            </w:r>
          </w:p>
        </w:tc>
        <w:tc>
          <w:tcPr>
            <w:tcW w:w="3846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</w:rPr>
              <w:t>Перечень лабораторных и функциональных исследований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49">
              <w:rPr>
                <w:b/>
                <w:bCs/>
              </w:rPr>
              <w:t>Перечень</w:t>
            </w:r>
            <w:r w:rsidRPr="00205249">
              <w:rPr>
                <w:b/>
              </w:rPr>
              <w:t xml:space="preserve"> дополнительных медицинских противопоказаний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3A99" w:rsidRPr="00205249" w:rsidTr="00A20B3D">
        <w:tc>
          <w:tcPr>
            <w:tcW w:w="2271" w:type="dxa"/>
          </w:tcPr>
          <w:p w:rsidR="00333A99" w:rsidRPr="00C43751" w:rsidRDefault="00333A99" w:rsidP="00A20B3D">
            <w:pPr>
              <w:jc w:val="center"/>
            </w:pPr>
            <w:r w:rsidRPr="00C43751">
              <w:t xml:space="preserve">11.02.03 Эксплуатация оборудования радиосвязи и </w:t>
            </w:r>
            <w:proofErr w:type="spellStart"/>
            <w:r w:rsidRPr="00C43751">
              <w:t>электрорадионавигации</w:t>
            </w:r>
            <w:proofErr w:type="spellEnd"/>
            <w:r w:rsidRPr="00C43751">
              <w:t xml:space="preserve"> судов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</w:t>
            </w:r>
            <w:proofErr w:type="spellStart"/>
            <w:r w:rsidRPr="009A4B93">
              <w:t>пародонтит</w:t>
            </w:r>
            <w:proofErr w:type="spellEnd"/>
            <w:r w:rsidRPr="009A4B93">
              <w:t xml:space="preserve">), отсутствие зубов, </w:t>
            </w:r>
            <w:r w:rsidRPr="009A4B93">
              <w:lastRenderedPageBreak/>
              <w:t>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6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C96C19" w:rsidRDefault="00333A99" w:rsidP="00A20B3D">
            <w:pPr>
              <w:jc w:val="center"/>
            </w:pPr>
            <w:r w:rsidRPr="00C96C19">
              <w:lastRenderedPageBreak/>
              <w:t>15.02.01 Монтаж и техническая эксплуатация промышленного оборудования (по отраслям)</w:t>
            </w:r>
          </w:p>
          <w:p w:rsidR="00333A99" w:rsidRPr="00C43751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>
              <w:t>15.02.06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  <w:r w:rsidRPr="003C34C8">
              <w:t xml:space="preserve">Холодильная, криогенная техника и системы </w:t>
            </w:r>
            <w:r w:rsidRPr="003C34C8">
              <w:lastRenderedPageBreak/>
              <w:t>жизнеобеспечения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lastRenderedPageBreak/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lastRenderedPageBreak/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lastRenderedPageBreak/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</w:t>
            </w:r>
            <w:r w:rsidRPr="00205249">
              <w:rPr>
                <w:spacing w:val="-4"/>
                <w:szCs w:val="29"/>
              </w:rPr>
              <w:lastRenderedPageBreak/>
              <w:t xml:space="preserve">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</w:t>
            </w:r>
            <w:proofErr w:type="spellStart"/>
            <w:r w:rsidRPr="009A4B93">
              <w:t>пародонтит</w:t>
            </w:r>
            <w:proofErr w:type="spellEnd"/>
            <w:r w:rsidRPr="009A4B93">
              <w:t>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2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>
              <w:lastRenderedPageBreak/>
              <w:t>19.02.10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  <w:r>
              <w:t>Технология продукции общественного питания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lastRenderedPageBreak/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lastRenderedPageBreak/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 xml:space="preserve">инфекций и серологическое обследование на брюшной тиф при поступлении на </w:t>
            </w:r>
            <w:r w:rsidRPr="00981915">
              <w:lastRenderedPageBreak/>
              <w:t>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gramStart"/>
            <w:r w:rsidRPr="00981915">
              <w:t>медицинским</w:t>
            </w:r>
            <w:proofErr w:type="gramEnd"/>
            <w:r w:rsidRPr="00981915">
              <w:t xml:space="preserve">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lastRenderedPageBreak/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lastRenderedPageBreak/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 xml:space="preserve">заразные и деструктивные формы туберкулеза легких, </w:t>
            </w:r>
            <w:proofErr w:type="spellStart"/>
            <w:r w:rsidRPr="00C5643B">
              <w:t>внелегочный</w:t>
            </w:r>
            <w:proofErr w:type="spellEnd"/>
            <w:r w:rsidRPr="00C5643B">
              <w:t xml:space="preserve">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>
              <w:t>и</w:t>
            </w:r>
            <w:r w:rsidRPr="00932E1D">
              <w:t xml:space="preserve">нфекции кожи и подкожной клетчатки </w:t>
            </w:r>
            <w:proofErr w:type="gramStart"/>
            <w:r w:rsidRPr="00932E1D">
              <w:t>-т</w:t>
            </w:r>
            <w:proofErr w:type="gramEnd"/>
            <w:r w:rsidRPr="00932E1D"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 w:rsidRPr="00345653">
              <w:lastRenderedPageBreak/>
              <w:t>26.02.03</w:t>
            </w:r>
            <w:r w:rsidRPr="00205249">
              <w:rPr>
                <w:b/>
              </w:rPr>
              <w:t xml:space="preserve"> </w:t>
            </w:r>
            <w:r w:rsidRPr="003C34C8">
              <w:t>Судовождение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</w:t>
            </w:r>
            <w:r w:rsidRPr="00205249">
              <w:rPr>
                <w:spacing w:val="-3"/>
                <w:szCs w:val="29"/>
              </w:rPr>
              <w:lastRenderedPageBreak/>
              <w:t>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</w:t>
            </w:r>
            <w:proofErr w:type="spellStart"/>
            <w:r w:rsidRPr="009A4B93">
              <w:t>пародонтит</w:t>
            </w:r>
            <w:proofErr w:type="spellEnd"/>
            <w:r w:rsidRPr="009A4B93">
              <w:t>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7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26.02.05 </w:t>
            </w:r>
            <w:r w:rsidRPr="003C34C8">
              <w:t>Эксплуатация судовых энергетических установок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lastRenderedPageBreak/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</w:t>
            </w:r>
            <w:proofErr w:type="spellStart"/>
            <w:r w:rsidRPr="009A4B93">
              <w:t>пародонтит</w:t>
            </w:r>
            <w:proofErr w:type="spellEnd"/>
            <w:r w:rsidRPr="009A4B93">
              <w:t>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4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26.02.06 </w:t>
            </w:r>
            <w:r w:rsidRPr="003C34C8">
              <w:t>Эксплуатация судового электрооборудования и средств автоматики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 xml:space="preserve">матки и придатков с частотой обострения 3 раза и более за </w:t>
            </w:r>
            <w:r w:rsidRPr="00205249">
              <w:rPr>
                <w:spacing w:val="-4"/>
                <w:szCs w:val="29"/>
              </w:rPr>
              <w:lastRenderedPageBreak/>
              <w:t>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</w:t>
            </w:r>
            <w:proofErr w:type="spellStart"/>
            <w:r w:rsidRPr="009A4B93">
              <w:t>пародонтит</w:t>
            </w:r>
            <w:proofErr w:type="spellEnd"/>
            <w:r w:rsidRPr="009A4B93">
              <w:t>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3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 w:rsidRPr="00345653">
              <w:lastRenderedPageBreak/>
              <w:t xml:space="preserve">35.02.10 </w:t>
            </w:r>
          </w:p>
          <w:p w:rsidR="00333A99" w:rsidRPr="00345653" w:rsidRDefault="00333A99" w:rsidP="00A20B3D">
            <w:pPr>
              <w:jc w:val="center"/>
            </w:pPr>
            <w:r w:rsidRPr="00345653">
              <w:t>Обработка водных биоресурсов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инфекций и серологическое обследование на брюшной тиф при поступлении на 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gramStart"/>
            <w:r w:rsidRPr="00981915">
              <w:t>медицинским</w:t>
            </w:r>
            <w:proofErr w:type="gramEnd"/>
            <w:r w:rsidRPr="00981915">
              <w:t xml:space="preserve">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заразные и деструктивные формы туберкулеза легких, </w:t>
            </w:r>
            <w:proofErr w:type="spellStart"/>
            <w:r w:rsidRPr="00C5643B">
              <w:t>внелегочный</w:t>
            </w:r>
            <w:proofErr w:type="spellEnd"/>
            <w:r w:rsidRPr="00C5643B">
              <w:t xml:space="preserve">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r>
              <w:t>и</w:t>
            </w:r>
            <w:r w:rsidRPr="00932E1D">
              <w:t xml:space="preserve">нфекции кожи и подкожной клетчатки </w:t>
            </w:r>
            <w:proofErr w:type="gramStart"/>
            <w:r w:rsidRPr="00932E1D">
              <w:t>-т</w:t>
            </w:r>
            <w:proofErr w:type="gramEnd"/>
            <w:r w:rsidRPr="00932E1D"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45653" w:rsidRDefault="00333A99" w:rsidP="00A20B3D">
            <w:pPr>
              <w:jc w:val="center"/>
            </w:pPr>
            <w:r w:rsidRPr="00345653">
              <w:t>35.02.11 Промышленное рыболовство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lastRenderedPageBreak/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lastRenderedPageBreak/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lastRenderedPageBreak/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lastRenderedPageBreak/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lastRenderedPageBreak/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</w:tbl>
    <w:p w:rsidR="00333A99" w:rsidRDefault="00333A99" w:rsidP="00333A99">
      <w:pPr>
        <w:jc w:val="center"/>
      </w:pPr>
    </w:p>
    <w:p w:rsidR="00333A99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общих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противопок</w:t>
      </w:r>
      <w:r>
        <w:rPr>
          <w:rFonts w:ascii="Times New Roman" w:hAnsi="Times New Roman" w:cs="Times New Roman"/>
          <w:b/>
          <w:sz w:val="24"/>
          <w:szCs w:val="24"/>
        </w:rPr>
        <w:t>азаний</w:t>
      </w:r>
    </w:p>
    <w:p w:rsidR="00333A99" w:rsidRPr="00E8757E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мнестико-интеллектуальными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нарушениями;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нарколепсия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катаплексия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7E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врача-профпатолога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онкологом);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с нарушением проводимости (синоаурикулярная блокада III степени, слабость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синусового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узла);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атеросклероз аорты с облитерацией висцеральных артерий и нарушением функции органов;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облитерирующий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атеросклероз сосудов конечностей, тромбангиит,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лимфангиит и другие нарушения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бронхолегочной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системы с явлениями дыхательной недостаточности или легочно-сердечной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хронические гепатиты,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декомпенсированные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циррозы печени и другие заболевания печени с признаками печеночной недостаточности 2 - 3 степени и портальной гипертензии;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>хронические болезни почек и мочевыводящих путей с явлениями хронической почечной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хронический прогрессирующий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поствакцинальные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поражения в случае неподдающихся или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A99" w:rsidRDefault="00333A99" w:rsidP="00333A99">
      <w:pPr>
        <w:jc w:val="both"/>
      </w:pPr>
    </w:p>
    <w:p w:rsidR="00333A99" w:rsidRDefault="00333A99" w:rsidP="00333A99"/>
    <w:p w:rsidR="005D789D" w:rsidRDefault="005D789D"/>
    <w:sectPr w:rsidR="005D789D" w:rsidSect="00290C71">
      <w:pgSz w:w="16838" w:h="11905" w:orient="landscape"/>
      <w:pgMar w:top="1258" w:right="902" w:bottom="1258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99"/>
    <w:rsid w:val="00333A99"/>
    <w:rsid w:val="005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3119</Words>
  <Characters>17780</Characters>
  <Application>Microsoft Office Word</Application>
  <DocSecurity>0</DocSecurity>
  <Lines>148</Lines>
  <Paragraphs>41</Paragraphs>
  <ScaleCrop>false</ScaleCrop>
  <Company>Орг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2019-02-05T23:42:00Z</dcterms:created>
  <dcterms:modified xsi:type="dcterms:W3CDTF">2019-02-05T23:43:00Z</dcterms:modified>
</cp:coreProperties>
</file>